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E" w:rsidRDefault="00AA275E" w:rsidP="00AA275E">
      <w:r>
        <w:t xml:space="preserve">Alpha </w:t>
      </w:r>
      <w:proofErr w:type="spellStart"/>
      <w:r>
        <w:t>alglucosidase</w:t>
      </w:r>
      <w:proofErr w:type="spellEnd"/>
      <w:r>
        <w:t> </w:t>
      </w:r>
      <w:r>
        <w:rPr>
          <w:rStyle w:val="hx"/>
        </w:rPr>
        <w:t>PHARMACOCINÉTIQUE</w:t>
      </w:r>
      <w:r>
        <w:t xml:space="preserve"> </w:t>
      </w:r>
    </w:p>
    <w:p w:rsidR="00AA275E" w:rsidRDefault="00AA275E" w:rsidP="00AA275E">
      <w:r>
        <w:t xml:space="preserve">Forme infantile de la maladie de Pompe </w:t>
      </w:r>
    </w:p>
    <w:p w:rsidR="00AA275E" w:rsidRDefault="00AA275E" w:rsidP="00AA275E">
      <w:r>
        <w:t xml:space="preserve">Dans un essai pivot incluant 18 patients, la pharmacocinétique de l'alpha </w:t>
      </w:r>
      <w:proofErr w:type="spellStart"/>
      <w:r>
        <w:t>alglucosidase</w:t>
      </w:r>
      <w:proofErr w:type="spellEnd"/>
      <w:r>
        <w:t xml:space="preserve"> a été évaluée chez 15 patients atteints de la forme infantile de la maladie de Pompe (tous âgés de moins de 6 mois au début du traitement) qui ont reçu des doses de 20 mg/kg ou de 40 mg/kg d'alpha </w:t>
      </w:r>
      <w:proofErr w:type="spellStart"/>
      <w:r>
        <w:t>alglucosidase</w:t>
      </w:r>
      <w:proofErr w:type="spellEnd"/>
      <w:r>
        <w:t xml:space="preserve"> en perfusion de respectivement 4 à 6,5 heures. Les propriétés pharmacocinétiques ont été proportionnelles à la dose et n'ont pas varié dans le temps. Après la première et la sixième perfusion </w:t>
      </w:r>
      <w:proofErr w:type="gramStart"/>
      <w:r>
        <w:t>de Alpha</w:t>
      </w:r>
      <w:proofErr w:type="gramEnd"/>
      <w:r>
        <w:t xml:space="preserve"> </w:t>
      </w:r>
      <w:proofErr w:type="spellStart"/>
      <w:r>
        <w:t>alglucosidase</w:t>
      </w:r>
      <w:proofErr w:type="spellEnd"/>
      <w:r>
        <w:t>, les concentrations plasmatiques maximales moyennes (</w:t>
      </w:r>
      <w:proofErr w:type="spellStart"/>
      <w:r>
        <w:t>Cmax</w:t>
      </w:r>
      <w:proofErr w:type="spellEnd"/>
      <w:r>
        <w:t>) ont été comprises entre 178,2 et 263,7 µg/ml pour les deux posologies, respectivement de 20 mg/kg et de 40 mg/kg. L'aire moyenne sous la courbe concentration plasmatique-temps (</w:t>
      </w:r>
      <w:proofErr w:type="spellStart"/>
      <w:r>
        <w:t>AUCinfini</w:t>
      </w:r>
      <w:proofErr w:type="spellEnd"/>
      <w:r>
        <w:t>) a été comprise entre 977,5 et 1 872,5 µ</w:t>
      </w:r>
      <w:proofErr w:type="spellStart"/>
      <w:r>
        <w:t>g.h</w:t>
      </w:r>
      <w:proofErr w:type="spellEnd"/>
      <w:r>
        <w:t>/ml pour les posologies de 20 mg/kg et de 40 mg/kg. La clairance plasmatique moyenne (CL) a été de 21,4 ml/h/kg et le volume moyen de distribution à l'état d'équilibre (</w:t>
      </w:r>
      <w:proofErr w:type="spellStart"/>
      <w:r>
        <w:t>Vss</w:t>
      </w:r>
      <w:proofErr w:type="spellEnd"/>
      <w:r>
        <w:t xml:space="preserve">) a été de 66,2 ml/kg pour les deux posologies avec une faible variabilité entre sujets, respectivement 15 % et 11 %. La demi-vie d'élimination plasmatique moyenne (t1/2) a été de 2,75 heures pour les deux groupes </w:t>
      </w:r>
      <w:proofErr w:type="spellStart"/>
      <w:r>
        <w:t>posologiques</w:t>
      </w:r>
      <w:proofErr w:type="spellEnd"/>
      <w:r>
        <w:t>.</w:t>
      </w:r>
      <w:r>
        <w:br/>
        <w:t xml:space="preserve">La pharmacocinétique de l'alpha </w:t>
      </w:r>
      <w:proofErr w:type="spellStart"/>
      <w:r>
        <w:t>alglucosidase</w:t>
      </w:r>
      <w:proofErr w:type="spellEnd"/>
      <w:r>
        <w:t xml:space="preserve"> a aussi été évaluée dans un essai distinct sur 21 patients atteints de la forme infantile de la maladie de Pompe (tous âgés de 6 mois à 3,5 ans au début du traitement) qui ont reçu des doses de 20 mg/kg d'alpha </w:t>
      </w:r>
      <w:proofErr w:type="spellStart"/>
      <w:r>
        <w:t>alglucosidase</w:t>
      </w:r>
      <w:proofErr w:type="spellEnd"/>
      <w:r>
        <w:t xml:space="preserve">. Chez 12 patients dont les données sont disponibles, les valeurs </w:t>
      </w:r>
      <w:proofErr w:type="spellStart"/>
      <w:r>
        <w:t>AUCinfini</w:t>
      </w:r>
      <w:proofErr w:type="spellEnd"/>
      <w:r>
        <w:t xml:space="preserve"> et </w:t>
      </w:r>
      <w:proofErr w:type="spellStart"/>
      <w:r>
        <w:t>Cmax</w:t>
      </w:r>
      <w:proofErr w:type="spellEnd"/>
      <w:r>
        <w:t xml:space="preserve"> ont été environ équivalentes à celles observées pour le groupe </w:t>
      </w:r>
      <w:proofErr w:type="spellStart"/>
      <w:r>
        <w:t>posologique</w:t>
      </w:r>
      <w:proofErr w:type="spellEnd"/>
      <w:r>
        <w:t xml:space="preserve"> à 20 mg/kg de l'essai pivot. La t1/2 d'approximativement 2 à 3 heures a aussi été similaire dans ce groupe de patients. </w:t>
      </w:r>
    </w:p>
    <w:p w:rsidR="00AA275E" w:rsidRDefault="00AA275E" w:rsidP="00AA275E">
      <w:r>
        <w:t xml:space="preserve">Forme tardive de la maladie de Pompe </w:t>
      </w:r>
    </w:p>
    <w:p w:rsidR="00AA275E" w:rsidRDefault="00AA275E" w:rsidP="00AA275E">
      <w:r>
        <w:t xml:space="preserve">La pharmacocinétique de l'alpha </w:t>
      </w:r>
      <w:proofErr w:type="spellStart"/>
      <w:r>
        <w:t>alglucosidase</w:t>
      </w:r>
      <w:proofErr w:type="spellEnd"/>
      <w:r>
        <w:t xml:space="preserve"> a été évaluée dans un essai chez 5 patients atteints de la maladie de Pompe d'apparition tardive âgés de 6 à 15 ans qui ont reçu 20 mg/kg d'alpha </w:t>
      </w:r>
      <w:proofErr w:type="spellStart"/>
      <w:r>
        <w:t>alglucosidase</w:t>
      </w:r>
      <w:proofErr w:type="spellEnd"/>
      <w:r>
        <w:t xml:space="preserve"> une fois toutes les 2 semaines. Il n'y a pas eu de différence dans le profil pharmacocinétique de l'alpha </w:t>
      </w:r>
      <w:proofErr w:type="spellStart"/>
      <w:r>
        <w:t>alglucosidase</w:t>
      </w:r>
      <w:proofErr w:type="spellEnd"/>
      <w:r>
        <w:t xml:space="preserve"> chez ces jeunes patients atteints de la forme tardive de la maladie comparée à celui de patients atteints de la forme infantile de la maladie.</w:t>
      </w:r>
      <w:r>
        <w:br/>
        <w:t xml:space="preserve">La pharmacocinétique de l'alpha </w:t>
      </w:r>
      <w:proofErr w:type="spellStart"/>
      <w:r>
        <w:t>alglucosidase</w:t>
      </w:r>
      <w:proofErr w:type="spellEnd"/>
      <w:r>
        <w:t xml:space="preserve"> a été étudiée dans le cadre d'une analyse de population de 32 patients atteints de la forme tardive de la maladie de Pompe, âgés de 21 à 70 ans, participant à l'étude randomisée, en double aveugle et contrôlée versus placebo, et ayant reçu 20 mg/kg de Alpha </w:t>
      </w:r>
      <w:proofErr w:type="spellStart"/>
      <w:r>
        <w:t>alglucosidase</w:t>
      </w:r>
      <w:proofErr w:type="spellEnd"/>
      <w:r>
        <w:t xml:space="preserve"> une fois toutes les deux semaines. Les valeurs AUC et </w:t>
      </w:r>
      <w:proofErr w:type="spellStart"/>
      <w:r>
        <w:t>Cmax</w:t>
      </w:r>
      <w:proofErr w:type="spellEnd"/>
      <w:r>
        <w:t xml:space="preserve"> étaient similaires aux visites des semaines 0, 12 et 52, indiquant que la pharmacocinétique de l'alpha </w:t>
      </w:r>
      <w:proofErr w:type="spellStart"/>
      <w:r>
        <w:t>alglucosidase</w:t>
      </w:r>
      <w:proofErr w:type="spellEnd"/>
      <w:r>
        <w:t xml:space="preserve"> n'était pas </w:t>
      </w:r>
      <w:proofErr w:type="spellStart"/>
      <w:r>
        <w:t>tempsdépendant</w:t>
      </w:r>
      <w:proofErr w:type="spellEnd"/>
      <w:r>
        <w:t xml:space="preserve"> (Tableau 5).</w:t>
      </w:r>
      <w:r>
        <w:br/>
        <w:t xml:space="preserve">Tableau 5 : Pharmacocinétique de l'alpha </w:t>
      </w:r>
      <w:proofErr w:type="spellStart"/>
      <w:r>
        <w:t>alglucosidase</w:t>
      </w:r>
      <w:proofErr w:type="spellEnd"/>
      <w:r>
        <w:t xml:space="preserve"> après administration d'une dose unique et après 12 et 52 semaines de traitement </w:t>
      </w:r>
    </w:p>
    <w:p w:rsidR="00AA275E" w:rsidRDefault="00AA275E" w:rsidP="00AA275E"/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  <w:gridCol w:w="1939"/>
        <w:gridCol w:w="1836"/>
        <w:gridCol w:w="1946"/>
      </w:tblGrid>
      <w:tr w:rsidR="00AA275E" w:rsidTr="00F975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Paramètre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Semaine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Semaine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Semaine 52 </w:t>
            </w:r>
          </w:p>
        </w:tc>
      </w:tr>
      <w:tr w:rsidR="00AA275E" w:rsidTr="00F975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proofErr w:type="spellStart"/>
            <w:r>
              <w:t>Cmax</w:t>
            </w:r>
            <w:proofErr w:type="spellEnd"/>
            <w:r>
              <w:t xml:space="preserve"> (µg/ml)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385 ± 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349 ± 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370 ± 88 </w:t>
            </w:r>
          </w:p>
        </w:tc>
      </w:tr>
      <w:tr w:rsidR="00AA275E" w:rsidTr="00F975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AUCinfini</w:t>
            </w:r>
            <w:proofErr w:type="spellEnd"/>
            <w:r>
              <w:t xml:space="preserve"> (µ</w:t>
            </w:r>
            <w:proofErr w:type="spellStart"/>
            <w:r>
              <w:t>g.h</w:t>
            </w:r>
            <w:proofErr w:type="spellEnd"/>
            <w:r>
              <w:t xml:space="preserve">/ml)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2672 ± 1140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2387 ± 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2700 ± 1000 </w:t>
            </w:r>
          </w:p>
        </w:tc>
      </w:tr>
      <w:tr w:rsidR="00AA275E" w:rsidTr="00F975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CL (ml/h/kg)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8,1 ± 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8,9 ± 2,3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8,2 ± 2,4 </w:t>
            </w:r>
          </w:p>
        </w:tc>
      </w:tr>
      <w:tr w:rsidR="00AA275E" w:rsidTr="00F975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proofErr w:type="spellStart"/>
            <w:r>
              <w:t>Vss</w:t>
            </w:r>
            <w:proofErr w:type="spellEnd"/>
            <w:r>
              <w:t xml:space="preserve"> (ml/kg)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904 ± 1158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919 ± 1154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896 ± 1154 </w:t>
            </w:r>
          </w:p>
        </w:tc>
      </w:tr>
      <w:tr w:rsidR="00AA275E" w:rsidTr="00F975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Demi-vie (h)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2,4 ± 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2,4 ± 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5E" w:rsidRDefault="00AA275E" w:rsidP="00F975F6">
            <w:pPr>
              <w:rPr>
                <w:sz w:val="24"/>
                <w:szCs w:val="24"/>
              </w:rPr>
            </w:pPr>
            <w:r>
              <w:t xml:space="preserve">2,5 ± 0,4 </w:t>
            </w:r>
          </w:p>
        </w:tc>
      </w:tr>
    </w:tbl>
    <w:p w:rsidR="00AA275E" w:rsidRDefault="00AA275E" w:rsidP="00AA275E"/>
    <w:p w:rsidR="00AA275E" w:rsidRDefault="00AA275E" w:rsidP="00AA275E">
      <w:r>
        <w:t xml:space="preserve">Rien ne permet d'affirmer que les anticorps </w:t>
      </w:r>
      <w:proofErr w:type="spellStart"/>
      <w:r>
        <w:t>IgG</w:t>
      </w:r>
      <w:proofErr w:type="spellEnd"/>
      <w:r>
        <w:t xml:space="preserve"> anti-alpha </w:t>
      </w:r>
      <w:proofErr w:type="spellStart"/>
      <w:r>
        <w:t>alglucosidase</w:t>
      </w:r>
      <w:proofErr w:type="spellEnd"/>
      <w:r>
        <w:t xml:space="preserve"> ont affecté la pharmacocinétique. Une clairance moyenne supérieure, une AUC moyenne inférieure et une </w:t>
      </w:r>
      <w:proofErr w:type="spellStart"/>
      <w:r>
        <w:t>Cmax</w:t>
      </w:r>
      <w:proofErr w:type="spellEnd"/>
      <w:r>
        <w:t xml:space="preserve"> moyenne inférieure ont été observées chez 5 patients testés positifs à l'inhibition de l'absorption cellulaire de l'enzyme. Toutefois, il n'existe aucun rapport apparent entre l'inhibition de l'absorption et les critères </w:t>
      </w:r>
      <w:proofErr w:type="spellStart"/>
      <w:r>
        <w:t>co</w:t>
      </w:r>
      <w:proofErr w:type="spellEnd"/>
      <w:r>
        <w:t>-primaires d'efficacité (</w:t>
      </w:r>
      <w:proofErr w:type="spellStart"/>
      <w:r>
        <w:rPr>
          <w:rStyle w:val="cf"/>
        </w:rPr>
        <w:t>cf</w:t>
      </w:r>
      <w:proofErr w:type="spellEnd"/>
      <w:r>
        <w:rPr>
          <w:rStyle w:val="cf"/>
        </w:rPr>
        <w:t> "</w:t>
      </w:r>
      <w:hyperlink w:anchor="d34889e117" w:history="1">
        <w:r>
          <w:rPr>
            <w:rStyle w:val="Lienhypertexte"/>
          </w:rPr>
          <w:t>Mises en garde, Précautions d'emploi</w:t>
        </w:r>
      </w:hyperlink>
      <w:r>
        <w:rPr>
          <w:rStyle w:val="cf"/>
        </w:rPr>
        <w:t>"</w:t>
      </w:r>
      <w:r>
        <w:t xml:space="preserve">). </w:t>
      </w:r>
    </w:p>
    <w:p w:rsidR="00DE34F8" w:rsidRDefault="00DE34F8">
      <w:bookmarkStart w:id="0" w:name="d34889e1235"/>
      <w:bookmarkStart w:id="1" w:name="secur"/>
      <w:bookmarkEnd w:id="0"/>
      <w:bookmarkEnd w:id="1"/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275E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57984"/>
    <w:rsid w:val="008D2D19"/>
    <w:rsid w:val="008F30B2"/>
    <w:rsid w:val="00911C5C"/>
    <w:rsid w:val="009D77C6"/>
    <w:rsid w:val="00A85F40"/>
    <w:rsid w:val="00A93A8E"/>
    <w:rsid w:val="00AA275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275E"/>
    <w:rPr>
      <w:color w:val="990000"/>
      <w:u w:val="single"/>
    </w:rPr>
  </w:style>
  <w:style w:type="character" w:customStyle="1" w:styleId="hx">
    <w:name w:val="hx"/>
    <w:basedOn w:val="Policepardfaut"/>
    <w:rsid w:val="00AA275E"/>
  </w:style>
  <w:style w:type="character" w:customStyle="1" w:styleId="regl">
    <w:name w:val="regl"/>
    <w:basedOn w:val="Policepardfaut"/>
    <w:rsid w:val="00AA275E"/>
  </w:style>
  <w:style w:type="character" w:customStyle="1" w:styleId="cf">
    <w:name w:val="cf"/>
    <w:basedOn w:val="Policepardfaut"/>
    <w:rsid w:val="00AA275E"/>
  </w:style>
  <w:style w:type="character" w:customStyle="1" w:styleId="cf-rubric">
    <w:name w:val="cf-rubric"/>
    <w:basedOn w:val="Policepardfaut"/>
    <w:rsid w:val="00AA2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2013-10-08T19:12:00Z</dcterms:created>
  <dcterms:modified xsi:type="dcterms:W3CDTF">2013-10-08T19:13:00Z</dcterms:modified>
</cp:coreProperties>
</file>